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45C6CC95" w:rsidR="00E96B69" w:rsidRDefault="006370B4" w:rsidP="0084069F">
      <w:pPr>
        <w:pStyle w:val="Ttulo1"/>
        <w:jc w:val="center"/>
        <w:rPr>
          <w:b/>
        </w:rPr>
      </w:pPr>
      <w:r>
        <w:rPr>
          <w:b/>
        </w:rPr>
        <w:t xml:space="preserve">CÓDIGO DE POLÍTICAS DE GESTIÓN DE TRÁFICO Y ADMINISTRACIÓN DE RED PARA EL SERVICIO DE ACCESO A INTERNET FIJO DE </w:t>
      </w:r>
      <w:r w:rsidR="00881FBF">
        <w:rPr>
          <w:b/>
          <w:bCs/>
        </w:rPr>
        <w:t>LUIS GUSTAVO GARCÍA GUTIÉRREZ.</w:t>
      </w:r>
    </w:p>
    <w:p w14:paraId="0337B534" w14:textId="77777777" w:rsidR="006370B4" w:rsidRPr="006370B4" w:rsidRDefault="006370B4" w:rsidP="006370B4"/>
    <w:p w14:paraId="00000003" w14:textId="3A13BA39" w:rsidR="00E96B69" w:rsidRDefault="006370B4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 fundamento en el artículo 12 del “Acuerdo mediante el cual el Pleno del Instituto Federal de Telecomunicaciones expide los Lineamientos para la gestión de tráfico y administración de red a</w:t>
      </w:r>
      <w:r w:rsidR="00A318D8">
        <w:rPr>
          <w:rFonts w:ascii="Arial" w:eastAsia="Arial" w:hAnsi="Arial" w:cs="Arial"/>
          <w:sz w:val="24"/>
          <w:szCs w:val="24"/>
        </w:rPr>
        <w:t xml:space="preserve"> los</w:t>
      </w:r>
      <w:r>
        <w:rPr>
          <w:rFonts w:ascii="Arial" w:eastAsia="Arial" w:hAnsi="Arial" w:cs="Arial"/>
          <w:sz w:val="24"/>
          <w:szCs w:val="24"/>
        </w:rPr>
        <w:t xml:space="preserve"> que deberán sujetarse los concesionarios y autorizados que presten el servicio de acceso a Internet”, en lo sucesivo, “El acuerdo”; </w:t>
      </w:r>
      <w:r w:rsidR="00881FBF" w:rsidRPr="00881FBF">
        <w:rPr>
          <w:rFonts w:ascii="Arial" w:eastAsia="Arial" w:hAnsi="Arial" w:cs="Arial"/>
          <w:b/>
          <w:bCs/>
          <w:sz w:val="24"/>
          <w:szCs w:val="24"/>
        </w:rPr>
        <w:t xml:space="preserve">LUIS GUSTAVO GARCÍA GUTIÉRREZ </w:t>
      </w:r>
      <w:r>
        <w:rPr>
          <w:rFonts w:ascii="Arial" w:eastAsia="Arial" w:hAnsi="Arial" w:cs="Arial"/>
          <w:sz w:val="24"/>
          <w:szCs w:val="24"/>
        </w:rPr>
        <w:t>(en lo sucesivo</w:t>
      </w:r>
      <w:r w:rsidR="00FC5600">
        <w:rPr>
          <w:rFonts w:ascii="Arial" w:eastAsia="Arial" w:hAnsi="Arial" w:cs="Arial"/>
          <w:sz w:val="24"/>
          <w:szCs w:val="24"/>
        </w:rPr>
        <w:t>, el</w:t>
      </w:r>
      <w:r>
        <w:rPr>
          <w:rFonts w:ascii="Arial" w:eastAsia="Arial" w:hAnsi="Arial" w:cs="Arial"/>
          <w:sz w:val="24"/>
          <w:szCs w:val="24"/>
        </w:rPr>
        <w:t xml:space="preserve"> “</w:t>
      </w:r>
      <w:r w:rsidR="005723CF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roveedor”) pone a disposición de sus usuarios el Código de Política de Gestión de Tráfico y Administración de Red (en adelante “Código</w:t>
      </w:r>
      <w:r w:rsidR="004957DA">
        <w:rPr>
          <w:rFonts w:ascii="Arial" w:eastAsia="Arial" w:hAnsi="Arial" w:cs="Arial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>)</w:t>
      </w:r>
      <w:r w:rsidR="00A318D8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por el cual da a conocer los principios bajo los cuales implementa la gestión de tráfico y administración de red que presta a sus usuarios:</w:t>
      </w:r>
    </w:p>
    <w:p w14:paraId="00000004" w14:textId="77777777" w:rsidR="00E96B69" w:rsidRDefault="006370B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1.- DERECHOS DE LOS USUARIOS FINALES DEL SERVICIO DE ACCESO A INTERNET</w:t>
      </w:r>
    </w:p>
    <w:p w14:paraId="00000005" w14:textId="6478F019" w:rsidR="00E96B69" w:rsidRDefault="006370B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6E0343">
        <w:rPr>
          <w:rFonts w:ascii="Arial" w:eastAsia="Arial" w:hAnsi="Arial" w:cs="Arial"/>
          <w:sz w:val="24"/>
          <w:szCs w:val="24"/>
        </w:rPr>
        <w:t>El servicio de acceso de internet se sujetará a los siguientes principios señalados en el artículo 1</w:t>
      </w:r>
      <w:r w:rsidR="006E0343">
        <w:rPr>
          <w:rFonts w:ascii="Arial" w:eastAsia="Arial" w:hAnsi="Arial" w:cs="Arial"/>
          <w:sz w:val="24"/>
          <w:szCs w:val="24"/>
        </w:rPr>
        <w:t>31</w:t>
      </w:r>
      <w:r w:rsidRPr="006E0343">
        <w:rPr>
          <w:rFonts w:ascii="Arial" w:eastAsia="Arial" w:hAnsi="Arial" w:cs="Arial"/>
          <w:sz w:val="24"/>
          <w:szCs w:val="24"/>
        </w:rPr>
        <w:t xml:space="preserve"> de la Ley </w:t>
      </w:r>
      <w:r w:rsidR="006E0343">
        <w:rPr>
          <w:rFonts w:ascii="Arial" w:eastAsia="Arial" w:hAnsi="Arial" w:cs="Arial"/>
          <w:sz w:val="24"/>
          <w:szCs w:val="24"/>
        </w:rPr>
        <w:t>en Materia</w:t>
      </w:r>
      <w:r w:rsidRPr="006E0343">
        <w:rPr>
          <w:rFonts w:ascii="Arial" w:eastAsia="Arial" w:hAnsi="Arial" w:cs="Arial"/>
          <w:sz w:val="24"/>
          <w:szCs w:val="24"/>
        </w:rPr>
        <w:t xml:space="preserve"> de Telecomunicaciones y Radiodifusión:</w:t>
      </w:r>
    </w:p>
    <w:p w14:paraId="00000006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Libre elección</w:t>
      </w:r>
      <w:r>
        <w:rPr>
          <w:rFonts w:ascii="Arial" w:eastAsia="Arial" w:hAnsi="Arial" w:cs="Arial"/>
          <w:color w:val="000000"/>
          <w:sz w:val="24"/>
          <w:szCs w:val="24"/>
        </w:rPr>
        <w:t>. Los usuarios de los servicios de internet prestados por el proveedor pueden acceder a cualquier contenido, aplicación o servicio ofrecido por los concesionarios o por los autorizados a comercializar, dentro del marco legal aplicable, sin limitar, degradar, restringir o discriminar el acceso a los mismos.</w:t>
      </w:r>
    </w:p>
    <w:p w14:paraId="00000007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8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El proveedor no limita el derecho de los usuarios del servicio de acceso a Internet a incorporar o utilizar cualquier clase de instrumentos, dispositivos o aparatos que se conecten a su red, siempre y cuando éstos se encuentren homologados, tomando en cuenta que no todos los dispositivos existentes en el mercado cuentan con las caracterizarías técnicas para poder ser conectados a su red. </w:t>
      </w:r>
    </w:p>
    <w:p w14:paraId="00000009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A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II.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No discriminación.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 proveedor se abstiene de obstruir, interferir, inspeccionar, filtrar o discriminar contenidos, aplicaciones o servicio;</w:t>
      </w:r>
    </w:p>
    <w:p w14:paraId="0000000B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C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III.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Privacidad</w:t>
      </w:r>
      <w:r>
        <w:rPr>
          <w:rFonts w:ascii="Arial" w:eastAsia="Arial" w:hAnsi="Arial" w:cs="Arial"/>
          <w:color w:val="000000"/>
          <w:sz w:val="24"/>
          <w:szCs w:val="24"/>
        </w:rPr>
        <w:t>. El proveedor preserva la privacidad de los usuarios y la seguridad de la red;</w:t>
      </w:r>
    </w:p>
    <w:p w14:paraId="0000000D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E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IV.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Transparencia e información.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Las características del servicio ofrecido, incluyendo las políticas de gestión de tráfico y administración de red autorizada por el Instituto, velocidad, calidad, la naturaleza y garantía del servicio, se pueden consultar en la página de internet y en el Código de prácticas comerciales del proveedor</w:t>
      </w:r>
    </w:p>
    <w:p w14:paraId="0000000F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0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Gestión de tráfico.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El proveedor podrá tomar las medidas o acciones necesarias para la gestión de tráfico y administración de red conforme a las políticas autorizadas por el Instituto, a fin de garantizar la calidad o la velocidad de servicio contratada por el usuario, siempre que ello no constituya una práctica contraria a la sana competencia y libre concurrencia;</w:t>
      </w:r>
    </w:p>
    <w:p w14:paraId="00000011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2" w14:textId="77777777" w:rsidR="00E96B69" w:rsidRDefault="006370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VI.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  <w:t>Calidad</w:t>
      </w:r>
      <w:r>
        <w:rPr>
          <w:rFonts w:ascii="Arial" w:eastAsia="Arial" w:hAnsi="Arial" w:cs="Arial"/>
          <w:color w:val="000000"/>
          <w:sz w:val="24"/>
          <w:szCs w:val="24"/>
        </w:rPr>
        <w:t>. El proveedor debe preservar los niveles mínimos de calidad que al efecto se establezcan en los lineamientos respectivos, y</w:t>
      </w:r>
    </w:p>
    <w:p w14:paraId="00000013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 w:hanging="79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0AD1E4FA" w:rsidR="00E96B69" w:rsidRPr="006370B4" w:rsidRDefault="006370B4" w:rsidP="006370B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 MEDIDAS DE GESTIÓN DE TRÁFICO</w:t>
      </w:r>
    </w:p>
    <w:p w14:paraId="47296055" w14:textId="77777777" w:rsidR="004957DA" w:rsidRDefault="004957DA" w:rsidP="004957D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2.1 Administración de Direcciones IP</w:t>
      </w:r>
    </w:p>
    <w:p w14:paraId="19617CF1" w14:textId="77777777" w:rsidR="004957DA" w:rsidRDefault="004957DA" w:rsidP="004957D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Una dirección IP es una dirección única que identifica a un dispositivo en internet o en una red local, con lo cual permite el intercambio de información en internet.</w:t>
      </w:r>
    </w:p>
    <w:p w14:paraId="4C02D7C8" w14:textId="77777777" w:rsidR="004957DA" w:rsidRDefault="004957DA" w:rsidP="004957D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Los organismos internacionales asignan a los Proveedores de Servicios de Internet (ISP) direcciones </w:t>
      </w:r>
      <w:proofErr w:type="spellStart"/>
      <w:r>
        <w:rPr>
          <w:rFonts w:ascii="Arial" w:eastAsia="Arial" w:hAnsi="Arial" w:cs="Arial"/>
          <w:sz w:val="24"/>
          <w:szCs w:val="24"/>
        </w:rPr>
        <w:t>IPs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públicas para permitir que sus usuarios se comuniquen por internet. Considerando que las direcciones IP son un recurso escaso y limitado, se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vuelve necesaria su administración para optimizar su uso. Es por eso </w:t>
      </w:r>
      <w:proofErr w:type="gramStart"/>
      <w:r>
        <w:rPr>
          <w:rFonts w:ascii="Arial" w:eastAsia="Arial" w:hAnsi="Arial" w:cs="Arial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el proveedor utiliza técnicas que permiten a múltiples dispositivos en una red local ser mapeados a una sola dirección IP Pública.</w:t>
      </w:r>
    </w:p>
    <w:p w14:paraId="241CF045" w14:textId="77777777" w:rsidR="004957DA" w:rsidRDefault="004957DA" w:rsidP="004957D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Los beneficios son:</w:t>
      </w:r>
    </w:p>
    <w:p w14:paraId="053A4E07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Optimización en el uso de un recurso finito como son las direcciones IP públicas.</w:t>
      </w:r>
    </w:p>
    <w:p w14:paraId="28D0168C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Ocupación innecesaria de direcciones IP públicas.</w:t>
      </w:r>
    </w:p>
    <w:p w14:paraId="51FDAE95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Agotamiento de las direcciones IP públicas.</w:t>
      </w:r>
    </w:p>
    <w:p w14:paraId="0C1F6D0A" w14:textId="77777777" w:rsidR="004957DA" w:rsidRDefault="004957DA" w:rsidP="004957DA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caso de que esta medida se elimine ocurrirá lo siguiente:</w:t>
      </w:r>
    </w:p>
    <w:p w14:paraId="2CA6C31E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Ocupación innecesaria de direcciones IP públicas.</w:t>
      </w:r>
    </w:p>
    <w:p w14:paraId="14982F5E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 Agotamiento de las direcciones IP públicas.</w:t>
      </w:r>
    </w:p>
    <w:p w14:paraId="2D5DD7FB" w14:textId="77777777" w:rsidR="004957DA" w:rsidRDefault="004957DA" w:rsidP="004957DA">
      <w:pPr>
        <w:spacing w:after="0" w:line="36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14:paraId="04337FD2" w14:textId="77777777" w:rsidR="004957DA" w:rsidRDefault="004957DA" w:rsidP="004957D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2.2 Administración de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Routers</w:t>
      </w:r>
      <w:proofErr w:type="spellEnd"/>
    </w:p>
    <w:p w14:paraId="46BB4147" w14:textId="77777777" w:rsidR="004957DA" w:rsidRPr="006370B4" w:rsidRDefault="004957DA" w:rsidP="004957DA">
      <w:pPr>
        <w:spacing w:line="360" w:lineRule="auto"/>
        <w:jc w:val="both"/>
        <w:rPr>
          <w:rFonts w:ascii="Arial" w:eastAsia="Arial" w:hAnsi="Arial" w:cs="Arial"/>
          <w:iCs/>
          <w:sz w:val="24"/>
          <w:szCs w:val="24"/>
        </w:rPr>
      </w:pPr>
      <w:r w:rsidRPr="006370B4">
        <w:rPr>
          <w:rFonts w:ascii="Arial" w:eastAsia="Arial" w:hAnsi="Arial" w:cs="Arial"/>
          <w:iCs/>
          <w:sz w:val="24"/>
          <w:szCs w:val="24"/>
        </w:rPr>
        <w:t xml:space="preserve">Los </w:t>
      </w:r>
      <w:proofErr w:type="spellStart"/>
      <w:r w:rsidRPr="006370B4">
        <w:rPr>
          <w:rFonts w:ascii="Arial" w:eastAsia="Arial" w:hAnsi="Arial" w:cs="Arial"/>
          <w:iCs/>
          <w:sz w:val="24"/>
          <w:szCs w:val="24"/>
        </w:rPr>
        <w:t>Router</w:t>
      </w:r>
      <w:proofErr w:type="spellEnd"/>
      <w:r w:rsidRPr="006370B4">
        <w:rPr>
          <w:rFonts w:ascii="Arial" w:eastAsia="Arial" w:hAnsi="Arial" w:cs="Arial"/>
          <w:iCs/>
          <w:sz w:val="24"/>
          <w:szCs w:val="24"/>
        </w:rPr>
        <w:t xml:space="preserve"> CCR administrados por segmentos VLAN que permiten la gestión adecuada del tráfico, así como la asignación de prioridades de tráfico, mantienen configuración personalizada en las reglas de </w:t>
      </w:r>
      <w:proofErr w:type="spellStart"/>
      <w:r w:rsidRPr="006370B4">
        <w:rPr>
          <w:rFonts w:ascii="Arial" w:eastAsia="Arial" w:hAnsi="Arial" w:cs="Arial"/>
          <w:iCs/>
          <w:sz w:val="24"/>
          <w:szCs w:val="24"/>
        </w:rPr>
        <w:t>queue</w:t>
      </w:r>
      <w:proofErr w:type="spellEnd"/>
      <w:r w:rsidRPr="006370B4">
        <w:rPr>
          <w:rFonts w:ascii="Arial" w:eastAsia="Arial" w:hAnsi="Arial" w:cs="Arial"/>
          <w:iCs/>
          <w:sz w:val="24"/>
          <w:szCs w:val="24"/>
        </w:rPr>
        <w:t xml:space="preserve"> simple y </w:t>
      </w:r>
      <w:proofErr w:type="spellStart"/>
      <w:r w:rsidRPr="006370B4">
        <w:rPr>
          <w:rFonts w:ascii="Arial" w:eastAsia="Arial" w:hAnsi="Arial" w:cs="Arial"/>
          <w:iCs/>
          <w:sz w:val="24"/>
          <w:szCs w:val="24"/>
        </w:rPr>
        <w:t>queue</w:t>
      </w:r>
      <w:proofErr w:type="spellEnd"/>
      <w:r w:rsidRPr="006370B4">
        <w:rPr>
          <w:rFonts w:ascii="Arial" w:eastAsia="Arial" w:hAnsi="Arial" w:cs="Arial"/>
          <w:iCs/>
          <w:sz w:val="24"/>
          <w:szCs w:val="24"/>
        </w:rPr>
        <w:t xml:space="preserve"> </w:t>
      </w:r>
      <w:proofErr w:type="spellStart"/>
      <w:r w:rsidRPr="006370B4">
        <w:rPr>
          <w:rFonts w:ascii="Arial" w:eastAsia="Arial" w:hAnsi="Arial" w:cs="Arial"/>
          <w:iCs/>
          <w:sz w:val="24"/>
          <w:szCs w:val="24"/>
        </w:rPr>
        <w:t>tree</w:t>
      </w:r>
      <w:proofErr w:type="spellEnd"/>
      <w:r w:rsidRPr="006370B4">
        <w:rPr>
          <w:rFonts w:ascii="Arial" w:eastAsia="Arial" w:hAnsi="Arial" w:cs="Arial"/>
          <w:iCs/>
          <w:sz w:val="24"/>
          <w:szCs w:val="24"/>
        </w:rPr>
        <w:t>, de esa forma garantizar la asignación de ancho de banda a cada usuario y prioridad en la calidad de acuerdo con cada una de las necesidades.</w:t>
      </w:r>
    </w:p>
    <w:p w14:paraId="18C41E28" w14:textId="77777777" w:rsidR="004957DA" w:rsidRPr="006370B4" w:rsidRDefault="004957DA" w:rsidP="004957DA">
      <w:pPr>
        <w:spacing w:line="360" w:lineRule="auto"/>
        <w:jc w:val="both"/>
        <w:rPr>
          <w:rFonts w:ascii="Arial" w:eastAsia="Arial" w:hAnsi="Arial" w:cs="Arial"/>
          <w:iCs/>
          <w:sz w:val="24"/>
          <w:szCs w:val="24"/>
        </w:rPr>
      </w:pPr>
      <w:r w:rsidRPr="006370B4">
        <w:rPr>
          <w:rFonts w:ascii="Arial" w:eastAsia="Arial" w:hAnsi="Arial" w:cs="Arial"/>
          <w:iCs/>
          <w:sz w:val="24"/>
          <w:szCs w:val="24"/>
        </w:rPr>
        <w:t>De esta forma</w:t>
      </w:r>
      <w:r>
        <w:rPr>
          <w:rFonts w:ascii="Arial" w:eastAsia="Arial" w:hAnsi="Arial" w:cs="Arial"/>
          <w:iCs/>
          <w:sz w:val="24"/>
          <w:szCs w:val="24"/>
        </w:rPr>
        <w:t>,</w:t>
      </w:r>
      <w:r w:rsidRPr="006370B4">
        <w:rPr>
          <w:rFonts w:ascii="Arial" w:eastAsia="Arial" w:hAnsi="Arial" w:cs="Arial"/>
          <w:iCs/>
          <w:sz w:val="24"/>
          <w:szCs w:val="24"/>
        </w:rPr>
        <w:t xml:space="preserve"> los </w:t>
      </w:r>
      <w:proofErr w:type="spellStart"/>
      <w:r w:rsidRPr="006370B4">
        <w:rPr>
          <w:rFonts w:ascii="Arial" w:eastAsia="Arial" w:hAnsi="Arial" w:cs="Arial"/>
          <w:iCs/>
          <w:sz w:val="24"/>
          <w:szCs w:val="24"/>
        </w:rPr>
        <w:t>Router</w:t>
      </w:r>
      <w:proofErr w:type="spellEnd"/>
      <w:r w:rsidRPr="006370B4">
        <w:rPr>
          <w:rFonts w:ascii="Arial" w:eastAsia="Arial" w:hAnsi="Arial" w:cs="Arial"/>
          <w:iCs/>
          <w:sz w:val="24"/>
          <w:szCs w:val="24"/>
        </w:rPr>
        <w:t xml:space="preserve"> CCR de servicio mantienen la comunicación activa con el sistema administrativo de suscriptores para la perfecta administración automatizada, y garantizar toda la gestión correcta evitando actividades manuales que pongan el peligro el flujo adecuado de una administración correctamente centralizada.</w:t>
      </w:r>
    </w:p>
    <w:p w14:paraId="0000002E" w14:textId="77777777" w:rsidR="00E96B69" w:rsidRDefault="00E96B69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0000002F" w14:textId="77777777" w:rsidR="00E96B69" w:rsidRDefault="006370B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3. RECOMENDACIONES A USUARIOS FINALES</w:t>
      </w:r>
    </w:p>
    <w:p w14:paraId="00000030" w14:textId="77777777" w:rsidR="00E96B69" w:rsidRDefault="006370B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Las recomendaciones para que los usuarios finales minimicen los riesgos a su privacidad y la de sus comunicaciones privadas son las siguientes:</w:t>
      </w:r>
    </w:p>
    <w:p w14:paraId="00000031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Al conectarse a internet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recomienda ocupar equipos y software que estén actualizados en sus últimas versiones e instalar </w:t>
      </w:r>
      <w:r>
        <w:rPr>
          <w:rFonts w:ascii="Arial" w:eastAsia="Arial" w:hAnsi="Arial" w:cs="Arial"/>
          <w:sz w:val="24"/>
          <w:szCs w:val="24"/>
        </w:rPr>
        <w:t>parches de seguridad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sistemas operativos y aplicaciones.</w:t>
      </w:r>
    </w:p>
    <w:p w14:paraId="00000032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Utilizar contraseñas seguras, incluyendo mayúsculas, minúsculas, números y caracteres especiales.</w:t>
      </w:r>
    </w:p>
    <w:p w14:paraId="00000033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Evitar ingresar a sitios desconocidos, que se vean sospechosas o que no sean confiables.</w:t>
      </w:r>
    </w:p>
    <w:p w14:paraId="00000034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Minimizar el registro con datos personales en páginas web y aplicaciones que realmente utilice y le sean útiles. </w:t>
      </w:r>
    </w:p>
    <w:p w14:paraId="00000035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Verificar que las páginas visitadas tengan el candado de seguridad tal como HTTPS://, especialmente si se envía información sensible como tarjetas de crédito.</w:t>
      </w:r>
    </w:p>
    <w:p w14:paraId="00000036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Utilizar un antivirus actualizado en el dispositivo terminal que se utiliza para acceder a internet.</w:t>
      </w:r>
    </w:p>
    <w:p w14:paraId="00000037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Cambiar las contraseñas de sus servicios en línea con frecuencia.</w:t>
      </w:r>
    </w:p>
    <w:p w14:paraId="00000038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Evitar abrir y/o responder mensajes o correos de origen desconocido, sobre todo los que requieran sus datos personales.</w:t>
      </w:r>
    </w:p>
    <w:p w14:paraId="00000039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Utilizar programas originales y de fuentes confiables.</w:t>
      </w:r>
    </w:p>
    <w:p w14:paraId="0000003A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 hacer clic en enlaces contenidos en correos electrónicos no solicitados o que provengan de fuentes desconocidas.</w:t>
      </w:r>
    </w:p>
    <w:p w14:paraId="0000003B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No hacer caso de mensajes cuyo contenido sea atractivo, de urgencia o exagerado, por ejemplo, entrega de premios de concursos en los que no participó, avisos de bancos acerca de adeudos que no existen, etc.</w:t>
      </w:r>
    </w:p>
    <w:p w14:paraId="0000003C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Proteja y no revele las contraseñas que utiliza en plataformas digitales.</w:t>
      </w:r>
    </w:p>
    <w:p w14:paraId="0000003D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Utilice herramientas que permitan un borrado seguro de información en los equipos de cómputo y procesamiento de datos que sean desechados por usted.</w:t>
      </w:r>
    </w:p>
    <w:p w14:paraId="0000003E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De ser necesario, comunicarse directamente con la institución de la que procedan los mensajes o correos electrónicos, a través de la información de contacto publicada en sitios oficiales.</w:t>
      </w:r>
    </w:p>
    <w:p w14:paraId="0000003F" w14:textId="77777777" w:rsidR="00E96B69" w:rsidRDefault="006370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 Se recomienda </w:t>
      </w:r>
      <w:r>
        <w:rPr>
          <w:rFonts w:ascii="Arial" w:eastAsia="Arial" w:hAnsi="Arial" w:cs="Arial"/>
          <w:sz w:val="24"/>
          <w:szCs w:val="24"/>
        </w:rPr>
        <w:t>instalar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utilizar herramientas de control parental para monitorear y controlar las actividades de los menores de edad en relación con el uso de internet.</w:t>
      </w:r>
    </w:p>
    <w:p w14:paraId="00000040" w14:textId="77777777" w:rsidR="00E96B69" w:rsidRDefault="00E96B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41" w14:textId="77777777" w:rsidR="00E96B69" w:rsidRDefault="006370B4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4. MARCO LEGAL APLICABLE</w:t>
      </w:r>
    </w:p>
    <w:p w14:paraId="00000043" w14:textId="69DAF14F" w:rsidR="00E96B69" w:rsidRDefault="006370B4" w:rsidP="004466DE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presente Código se apega a lo dispuesto en la Ley </w:t>
      </w:r>
      <w:r w:rsidR="006E0343">
        <w:rPr>
          <w:rFonts w:ascii="Arial" w:eastAsia="Arial" w:hAnsi="Arial" w:cs="Arial"/>
          <w:sz w:val="24"/>
          <w:szCs w:val="24"/>
        </w:rPr>
        <w:t>en Materia</w:t>
      </w:r>
      <w:r>
        <w:rPr>
          <w:rFonts w:ascii="Arial" w:eastAsia="Arial" w:hAnsi="Arial" w:cs="Arial"/>
          <w:sz w:val="24"/>
          <w:szCs w:val="24"/>
        </w:rPr>
        <w:t xml:space="preserve"> de Telecomunicaciones y Radiodifusión, así como en los Lineamientos para la gestión de tráfico y administración de red a que deberán sujetarse los concesionarios y autorizados que presten el servicio de acceso a Internet, publicados en el Diario Oficial de la Federación el 5 de julio de 2021 y expedidos por el Instituto Federal de Telecomunicaciones.</w:t>
      </w:r>
    </w:p>
    <w:p w14:paraId="00000044" w14:textId="5B0C9C8A" w:rsidR="00E96B69" w:rsidRDefault="006370B4" w:rsidP="004466DE">
      <w:pPr>
        <w:spacing w:line="360" w:lineRule="auto"/>
        <w:ind w:left="382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Versión 1.0, publicada el </w:t>
      </w:r>
      <w:r w:rsidR="00881FBF">
        <w:rPr>
          <w:rFonts w:ascii="Arial" w:eastAsia="Arial" w:hAnsi="Arial" w:cs="Arial"/>
          <w:sz w:val="24"/>
          <w:szCs w:val="24"/>
        </w:rPr>
        <w:t>27</w:t>
      </w:r>
      <w:r w:rsidR="00BA037A">
        <w:rPr>
          <w:rFonts w:ascii="Arial" w:eastAsia="Arial" w:hAnsi="Arial" w:cs="Arial"/>
          <w:sz w:val="24"/>
          <w:szCs w:val="24"/>
        </w:rPr>
        <w:t xml:space="preserve"> de ma</w:t>
      </w:r>
      <w:r w:rsidR="00881FBF">
        <w:rPr>
          <w:rFonts w:ascii="Arial" w:eastAsia="Arial" w:hAnsi="Arial" w:cs="Arial"/>
          <w:sz w:val="24"/>
          <w:szCs w:val="24"/>
        </w:rPr>
        <w:t>yo</w:t>
      </w:r>
      <w:r w:rsidR="00735FAF">
        <w:rPr>
          <w:rFonts w:ascii="Arial" w:eastAsia="Arial" w:hAnsi="Arial" w:cs="Arial"/>
          <w:sz w:val="24"/>
          <w:szCs w:val="24"/>
        </w:rPr>
        <w:t xml:space="preserve"> de 2026</w:t>
      </w:r>
      <w:r>
        <w:rPr>
          <w:rFonts w:ascii="Arial" w:eastAsia="Arial" w:hAnsi="Arial" w:cs="Arial"/>
          <w:sz w:val="24"/>
          <w:szCs w:val="24"/>
        </w:rPr>
        <w:t>.</w:t>
      </w:r>
      <w:r w:rsidR="00587C92">
        <w:rPr>
          <w:rFonts w:ascii="Arial" w:eastAsia="Arial" w:hAnsi="Arial" w:cs="Arial"/>
          <w:sz w:val="24"/>
          <w:szCs w:val="24"/>
        </w:rPr>
        <w:t xml:space="preserve"> </w:t>
      </w:r>
    </w:p>
    <w:sectPr w:rsidR="00E96B69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19BA7" w14:textId="77777777" w:rsidR="006928E5" w:rsidRDefault="006928E5" w:rsidP="0084069F">
      <w:pPr>
        <w:spacing w:after="0" w:line="240" w:lineRule="auto"/>
      </w:pPr>
      <w:r>
        <w:separator/>
      </w:r>
    </w:p>
  </w:endnote>
  <w:endnote w:type="continuationSeparator" w:id="0">
    <w:p w14:paraId="02E8132C" w14:textId="77777777" w:rsidR="006928E5" w:rsidRDefault="006928E5" w:rsidP="0084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2A6A" w14:textId="77777777" w:rsidR="006928E5" w:rsidRDefault="006928E5" w:rsidP="0084069F">
      <w:pPr>
        <w:spacing w:after="0" w:line="240" w:lineRule="auto"/>
      </w:pPr>
      <w:r>
        <w:separator/>
      </w:r>
    </w:p>
  </w:footnote>
  <w:footnote w:type="continuationSeparator" w:id="0">
    <w:p w14:paraId="0836C0D5" w14:textId="77777777" w:rsidR="006928E5" w:rsidRDefault="006928E5" w:rsidP="00840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52EE" w14:textId="77777777" w:rsidR="0084069F" w:rsidRDefault="0084069F">
    <w:pPr>
      <w:pStyle w:val="Encabezado"/>
    </w:pPr>
  </w:p>
  <w:p w14:paraId="32B4E8E3" w14:textId="3DB011DC" w:rsidR="0084069F" w:rsidRDefault="008406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45FFB"/>
    <w:multiLevelType w:val="multilevel"/>
    <w:tmpl w:val="BD60899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75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B69"/>
    <w:rsid w:val="000675B0"/>
    <w:rsid w:val="000B415D"/>
    <w:rsid w:val="00171C76"/>
    <w:rsid w:val="00203D9B"/>
    <w:rsid w:val="002075C9"/>
    <w:rsid w:val="00214B53"/>
    <w:rsid w:val="0027520E"/>
    <w:rsid w:val="002A65A6"/>
    <w:rsid w:val="003D0CAE"/>
    <w:rsid w:val="004466DE"/>
    <w:rsid w:val="004527DA"/>
    <w:rsid w:val="00486E0E"/>
    <w:rsid w:val="004957DA"/>
    <w:rsid w:val="004A00B3"/>
    <w:rsid w:val="004A39C8"/>
    <w:rsid w:val="004D693F"/>
    <w:rsid w:val="00542CCF"/>
    <w:rsid w:val="005723CF"/>
    <w:rsid w:val="00581DE7"/>
    <w:rsid w:val="00587C92"/>
    <w:rsid w:val="0060164E"/>
    <w:rsid w:val="006370B4"/>
    <w:rsid w:val="006928E5"/>
    <w:rsid w:val="006D6A25"/>
    <w:rsid w:val="006E0343"/>
    <w:rsid w:val="007337AF"/>
    <w:rsid w:val="00735FAF"/>
    <w:rsid w:val="00782995"/>
    <w:rsid w:val="0084069F"/>
    <w:rsid w:val="00877FBF"/>
    <w:rsid w:val="00881FBF"/>
    <w:rsid w:val="009C7714"/>
    <w:rsid w:val="009C7D45"/>
    <w:rsid w:val="009E5B78"/>
    <w:rsid w:val="00A12D26"/>
    <w:rsid w:val="00A318D8"/>
    <w:rsid w:val="00A51803"/>
    <w:rsid w:val="00AA06A7"/>
    <w:rsid w:val="00BA037A"/>
    <w:rsid w:val="00C96F62"/>
    <w:rsid w:val="00C97BEE"/>
    <w:rsid w:val="00CC0DA9"/>
    <w:rsid w:val="00D47EFA"/>
    <w:rsid w:val="00D54B5C"/>
    <w:rsid w:val="00DB2070"/>
    <w:rsid w:val="00E37FCA"/>
    <w:rsid w:val="00E96B69"/>
    <w:rsid w:val="00FC5600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0B5F5"/>
  <w15:docId w15:val="{D464BE0C-992E-4E52-A2DC-D5D147C8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7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C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5C637C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C637C"/>
    <w:rPr>
      <w:rFonts w:ascii="Arial" w:eastAsia="Times New Roman" w:hAnsi="Arial" w:cs="Arial"/>
      <w:sz w:val="18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CA5789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0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830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30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0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0A9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40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069F"/>
  </w:style>
  <w:style w:type="paragraph" w:styleId="Piedepgina">
    <w:name w:val="footer"/>
    <w:basedOn w:val="Normal"/>
    <w:link w:val="PiedepginaCar"/>
    <w:uiPriority w:val="99"/>
    <w:unhideWhenUsed/>
    <w:rsid w:val="00840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Xb2xOemHadkXAg0YnX8rmzeHA==">CgMxLjA4AHIhMURZTkxrVXN1SW5EdDlGZUtYUjhIN001NURSRVpkTjBE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1104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Peñaloza</dc:creator>
  <cp:lastModifiedBy>Indra Naivi Rodríguez Cruz</cp:lastModifiedBy>
  <cp:revision>3</cp:revision>
  <dcterms:created xsi:type="dcterms:W3CDTF">2026-05-26T19:13:00Z</dcterms:created>
  <dcterms:modified xsi:type="dcterms:W3CDTF">2026-05-27T19:07:00Z</dcterms:modified>
</cp:coreProperties>
</file>